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01A3713" w:rsidP="501A3713" w:rsidRDefault="501A3713" w14:paraId="652D0865" w14:textId="69B391D3">
      <w:pPr>
        <w:pStyle w:val="Normal"/>
        <w:jc w:val="center"/>
        <w:rPr>
          <w:rFonts w:ascii="Times" w:hAnsi="Times" w:eastAsia="Times New Roman" w:cs="Times New Roman"/>
          <w:b w:val="1"/>
          <w:bCs w:val="1"/>
          <w:color w:val="auto"/>
          <w:sz w:val="28"/>
          <w:szCs w:val="28"/>
          <w:lang w:val="sv-SE" w:eastAsia="en-GB"/>
        </w:rPr>
      </w:pPr>
      <w:r w:rsidRPr="501A3713" w:rsidR="501A3713">
        <w:rPr>
          <w:rFonts w:ascii="Times" w:hAnsi="Times" w:eastAsia="Times New Roman" w:cs="Times New Roman"/>
          <w:b w:val="1"/>
          <w:bCs w:val="1"/>
          <w:color w:val="auto"/>
          <w:sz w:val="28"/>
          <w:szCs w:val="28"/>
          <w:lang w:val="sv-SE" w:eastAsia="en-GB"/>
        </w:rPr>
        <w:t xml:space="preserve">GROV MALL FÖR FLASKHALSANALYS (FRÅN RAPPORT) - </w:t>
      </w:r>
    </w:p>
    <w:p w:rsidR="501A3713" w:rsidP="501A3713" w:rsidRDefault="501A3713" w14:paraId="216732C9" w14:textId="662F6659">
      <w:pPr>
        <w:pStyle w:val="Normal"/>
        <w:jc w:val="center"/>
        <w:rPr>
          <w:rFonts w:ascii="Times" w:hAnsi="Times" w:eastAsia="Times New Roman" w:cs="Times New Roman"/>
          <w:b w:val="1"/>
          <w:bCs w:val="1"/>
          <w:color w:val="auto"/>
          <w:sz w:val="28"/>
          <w:szCs w:val="28"/>
          <w:lang w:val="sv-SE" w:eastAsia="en-GB"/>
        </w:rPr>
      </w:pPr>
      <w:r w:rsidRPr="501A3713" w:rsidR="501A3713">
        <w:rPr>
          <w:rFonts w:ascii="Times" w:hAnsi="Times" w:eastAsia="Times New Roman" w:cs="Times New Roman"/>
          <w:b w:val="1"/>
          <w:bCs w:val="1"/>
          <w:color w:val="auto"/>
          <w:sz w:val="28"/>
          <w:szCs w:val="28"/>
          <w:lang w:val="sv-SE" w:eastAsia="en-GB"/>
        </w:rPr>
        <w:t>ANVÄND SOM INSPIRATION + ANPASSA TILL ER KONTEXT!</w:t>
      </w:r>
    </w:p>
    <w:p w:rsidR="501A3713" w:rsidP="501A3713" w:rsidRDefault="501A3713" w14:paraId="253A9AA7" w14:textId="187984EF">
      <w:pPr>
        <w:pStyle w:val="Normal"/>
      </w:pPr>
    </w:p>
    <w:tbl>
      <w:tblPr>
        <w:tblW w:w="138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2835"/>
        <w:gridCol w:w="2761"/>
        <w:gridCol w:w="3061"/>
      </w:tblGrid>
      <w:tr w:rsidR="501A3713" w:rsidTr="0085FF06" w14:paraId="65904AB8">
        <w:trPr>
          <w:trHeight w:val="375"/>
        </w:trPr>
        <w:tc>
          <w:tcPr>
            <w:tcW w:w="1389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501A3713" w:rsidP="7A53FCC6" w:rsidRDefault="501A3713" w14:paraId="33642267" w14:textId="6B82BEDC">
            <w:pPr>
              <w:pStyle w:val="Normal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  <w:lang w:val="sv-SE" w:eastAsia="en-GB"/>
              </w:rPr>
            </w:pPr>
            <w:r w:rsidRPr="7A53FCC6" w:rsidR="7A53FCC6">
              <w:rPr>
                <w:rFonts w:ascii="Arial" w:hAnsi="Arial" w:eastAsia="Arial" w:cs="Arial"/>
                <w:b w:val="1"/>
                <w:bCs w:val="1"/>
                <w:color w:val="auto"/>
                <w:sz w:val="28"/>
                <w:szCs w:val="28"/>
                <w:lang w:val="sv-SE" w:eastAsia="en-GB"/>
              </w:rPr>
              <w:t xml:space="preserve">FLASKHALSANALYS FÖR [missionsdriven innovationsmiljö x] </w:t>
            </w:r>
          </w:p>
        </w:tc>
      </w:tr>
      <w:tr w:rsidRPr="0094295C" w:rsidR="005D4916" w:rsidTr="0085FF06" w14:paraId="14A276EA" w14:textId="77777777">
        <w:trPr>
          <w:trHeight w:val="1193"/>
        </w:trPr>
        <w:tc>
          <w:tcPr>
            <w:tcW w:w="32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4295C" w:rsidR="005D4916" w:rsidP="0085FF06" w:rsidRDefault="005D4916" w14:paraId="51DFF14E" w14:textId="176E6B75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  <w:t xml:space="preserve">Vilka hinder finns på systemnivå i relation till er vision?  </w:t>
            </w:r>
          </w:p>
          <w:p w:rsidRPr="0094295C" w:rsidR="005D4916" w:rsidP="0085FF06" w:rsidRDefault="005D4916" w14:paraId="18345744" w14:textId="49B1ADE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</w:p>
          <w:p w:rsidRPr="0094295C" w:rsidR="005D4916" w:rsidP="7A53FCC6" w:rsidRDefault="005D4916" w14:paraId="403C63EF" w14:textId="07B19456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(Förekomst av hinder/brist på funktion/ förutsättningar för att stimulera innovation i önskad riktning)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4295C" w:rsidR="005D4916" w:rsidP="0085FF06" w:rsidRDefault="005D4916" w14:paraId="2A4D37B7" w14:textId="4D2204DB">
            <w:pPr>
              <w:textAlignment w:val="baseline"/>
              <w:rPr>
                <w:rFonts w:ascii="Arial" w:hAnsi="Arial" w:eastAsia="Arial" w:cs="Arial"/>
                <w:b w:val="1"/>
                <w:bCs w:val="1"/>
                <w:color w:val="4472C4" w:themeColor="accent1" w:themeTint="FF" w:themeShade="FF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  <w:t>Hur omfattande/</w:t>
            </w:r>
          </w:p>
          <w:p w:rsidRPr="0094295C" w:rsidR="005D4916" w:rsidP="0085FF06" w:rsidRDefault="005D4916" w14:paraId="5876F578" w14:textId="4CC7065D">
            <w:pPr>
              <w:textAlignment w:val="baseline"/>
              <w:rPr>
                <w:rFonts w:ascii="Arial" w:hAnsi="Arial" w:eastAsia="Arial" w:cs="Arial"/>
                <w:b w:val="1"/>
                <w:bCs w:val="1"/>
                <w:color w:val="4472C4" w:themeColor="accent1" w:themeTint="FF" w:themeShade="FF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  <w:t>betydelsefullt är hindret?</w:t>
            </w:r>
          </w:p>
          <w:p w:rsidRPr="0094295C" w:rsidR="005D4916" w:rsidP="0085FF06" w:rsidRDefault="005D4916" w14:paraId="50DF19C9" w14:textId="525107D9">
            <w:pPr>
              <w:textAlignment w:val="baseline"/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</w:pPr>
          </w:p>
          <w:p w:rsidRPr="0094295C" w:rsidR="005D4916" w:rsidP="7A53FCC6" w:rsidRDefault="005D4916" w14:paraId="67D2948C" w14:textId="36C50950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  <w:t>(Flaskhalsens betydelse, skala</w:t>
            </w: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1-10)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4295C" w:rsidR="005D4916" w:rsidP="0085FF06" w:rsidRDefault="0094295C" w14:paraId="703E9C89" w14:textId="24CDEE48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Vad har miljön gjort för att adressera hindret?</w:t>
            </w:r>
          </w:p>
          <w:p w:rsidRPr="0094295C" w:rsidR="005D4916" w:rsidP="0085FF06" w:rsidRDefault="0094295C" w14:paraId="7E7C1C34" w14:textId="5EEC852C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</w:p>
          <w:p w:rsidRPr="0094295C" w:rsidR="005D4916" w:rsidP="0085FF06" w:rsidRDefault="0094295C" w14:paraId="3EC666CB" w14:textId="0977166B">
            <w:pPr>
              <w:pStyle w:val="Normal"/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</w:p>
          <w:p w:rsidRPr="0094295C" w:rsidR="005D4916" w:rsidP="7A53FCC6" w:rsidRDefault="0094295C" w14:paraId="1499BF11" w14:textId="6E65A48B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(Miljöns </w:t>
            </w:r>
            <w:r w:rsidRPr="0085FF06" w:rsidR="0085FF06"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  <w:t xml:space="preserve">investeringar/ </w:t>
            </w: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som adresserar flaskhalsen)</w:t>
            </w:r>
          </w:p>
        </w:tc>
        <w:tc>
          <w:tcPr>
            <w:tcW w:w="27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4295C" w:rsidR="005D4916" w:rsidP="7A53FCC6" w:rsidRDefault="005D4916" w14:paraId="38EE62B4" w14:textId="7EFFED65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  <w:t xml:space="preserve">Matchar miljöns investeringar/aktiviteter </w:t>
            </w: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flaskhalsens betydelse?</w:t>
            </w:r>
          </w:p>
          <w:p w:rsidRPr="0094295C" w:rsidR="005D4916" w:rsidP="7A53FCC6" w:rsidRDefault="005D4916" w14:paraId="34573199" w14:textId="6E3FE94A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</w:p>
          <w:p w:rsidRPr="0094295C" w:rsidR="005D4916" w:rsidP="7A53FCC6" w:rsidRDefault="005D4916" w14:paraId="24E5A9F4" w14:textId="4644692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(Skala 1-10)</w:t>
            </w:r>
          </w:p>
          <w:p w:rsidRPr="0094295C" w:rsidR="005D4916" w:rsidP="7A53FCC6" w:rsidRDefault="005D4916" w14:paraId="69439A7B" w14:textId="4B2D5AD4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 </w:t>
            </w:r>
          </w:p>
        </w:tc>
        <w:tc>
          <w:tcPr>
            <w:tcW w:w="30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4295C" w:rsidR="005D4916" w:rsidP="7A53FCC6" w:rsidRDefault="005D4916" w14:paraId="39A6AAFB" w14:textId="04D816B8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0085FF06" w:rsidR="0085FF06">
              <w:rPr>
                <w:rFonts w:ascii="Arial" w:hAnsi="Arial" w:eastAsia="Arial" w:cs="Arial"/>
                <w:b w:val="1"/>
                <w:bCs w:val="1"/>
                <w:color w:val="4471C4"/>
                <w:lang w:val="sv-SE" w:eastAsia="en-GB"/>
              </w:rPr>
              <w:t xml:space="preserve">Bidrar investeringarna/ aktiviteterna till eliminering </w:t>
            </w:r>
            <w:r w:rsidRPr="0085FF06" w:rsidR="0085FF0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av hinder/uppbyggnad av förutsättningar? </w:t>
            </w:r>
          </w:p>
          <w:p w:rsidRPr="0094295C" w:rsidR="005D4916" w:rsidP="7A53FCC6" w:rsidRDefault="005D4916" w14:paraId="205EC1DC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</w:p>
          <w:p w:rsidRPr="0094295C" w:rsidR="005D4916" w:rsidP="7A53FCC6" w:rsidRDefault="005D4916" w14:paraId="618A606F" w14:textId="49FA3F64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(bedöms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efter genomförd investering/aktivitet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av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miljön/och extern panel)</w:t>
            </w:r>
          </w:p>
        </w:tc>
      </w:tr>
      <w:tr w:rsidRPr="005D4916" w:rsidR="005D4916" w:rsidTr="0085FF06" w14:paraId="1482C9B9" w14:textId="77777777">
        <w:trPr>
          <w:trHeight w:val="145"/>
        </w:trPr>
        <w:tc>
          <w:tcPr>
            <w:tcW w:w="32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D4916" w:rsidR="005D4916" w:rsidP="7A53FCC6" w:rsidRDefault="005D4916" w14:paraId="37B8BAC3" w14:textId="77777777">
            <w:pPr>
              <w:jc w:val="right"/>
              <w:textAlignment w:val="baseline"/>
              <w:rPr>
                <w:rFonts w:ascii="Arial" w:hAnsi="Arial" w:eastAsia="Arial" w:cs="Arial"/>
                <w:sz w:val="22"/>
                <w:szCs w:val="22"/>
                <w:lang w:eastAsia="en-GB"/>
              </w:rPr>
            </w:pPr>
            <w:proofErr w:type="spellStart"/>
            <w:r w:rsidRPr="7A53FCC6" w:rsidR="7A53FCC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en-US" w:eastAsia="en-GB"/>
              </w:rPr>
              <w:t>Utvärderingstyp</w:t>
            </w:r>
            <w:proofErr w:type="spellEnd"/>
            <w:r w:rsidRPr="7A53FCC6" w:rsidR="7A53FCC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en-US" w:eastAsia="en-GB"/>
              </w:rPr>
              <w:t>:</w:t>
            </w:r>
          </w:p>
        </w:tc>
        <w:tc>
          <w:tcPr>
            <w:tcW w:w="758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D4916" w:rsidR="005D4916" w:rsidP="7A53FCC6" w:rsidRDefault="005D4916" w14:paraId="44E196D1" w14:textId="77777777">
            <w:pPr>
              <w:jc w:val="center"/>
              <w:textAlignment w:val="baseline"/>
              <w:rPr>
                <w:rFonts w:ascii="Arial" w:hAnsi="Arial" w:eastAsia="Arial" w:cs="Arial"/>
                <w:sz w:val="22"/>
                <w:szCs w:val="22"/>
                <w:lang w:eastAsia="en-GB"/>
              </w:rPr>
            </w:pPr>
            <w:proofErr w:type="spellStart"/>
            <w:r w:rsidRPr="7A53FCC6" w:rsidR="7A53FCC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en-US" w:eastAsia="en-GB"/>
              </w:rPr>
              <w:t>Formativ</w:t>
            </w:r>
            <w:proofErr w:type="spellEnd"/>
          </w:p>
        </w:tc>
        <w:tc>
          <w:tcPr>
            <w:tcW w:w="30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5D4916" w:rsidR="005D4916" w:rsidP="7A53FCC6" w:rsidRDefault="005D4916" w14:paraId="1D63B0CF" w14:textId="77777777">
            <w:pPr>
              <w:jc w:val="center"/>
              <w:textAlignment w:val="baseline"/>
              <w:rPr>
                <w:rFonts w:ascii="Arial" w:hAnsi="Arial" w:eastAsia="Arial" w:cs="Arial"/>
                <w:sz w:val="22"/>
                <w:szCs w:val="22"/>
                <w:lang w:eastAsia="en-GB"/>
              </w:rPr>
            </w:pPr>
            <w:proofErr w:type="spellStart"/>
            <w:r w:rsidRPr="7A53FCC6" w:rsidR="7A53FCC6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val="en-US" w:eastAsia="en-GB"/>
              </w:rPr>
              <w:t>Summativ</w:t>
            </w:r>
            <w:proofErr w:type="spellEnd"/>
          </w:p>
        </w:tc>
      </w:tr>
      <w:tr w:rsidRPr="0094295C" w:rsidR="0094295C" w:rsidTr="0085FF06" w14:paraId="7374E01A" w14:textId="77777777">
        <w:trPr>
          <w:trHeight w:val="887"/>
        </w:trPr>
        <w:tc>
          <w:tcPr>
            <w:tcW w:w="32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4295C" w:rsidR="005D4916" w:rsidP="7A53FCC6" w:rsidRDefault="005D4916" w14:paraId="0B914DD1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eastAsia="en-GB"/>
              </w:rPr>
            </w:pPr>
          </w:p>
          <w:p w:rsidRPr="0094295C" w:rsidR="005D4916" w:rsidP="7A53FCC6" w:rsidRDefault="005D4916" w14:paraId="78816D7C" w14:textId="7D38E3A0">
            <w:pPr>
              <w:jc w:val="center"/>
              <w:textAlignment w:val="baseline"/>
              <w:rPr>
                <w:rFonts w:ascii="Arial" w:hAnsi="Arial" w:eastAsia="Arial" w:cs="Arial"/>
                <w:b w:val="1"/>
                <w:bCs w:val="1"/>
                <w:lang w:val="en-US" w:eastAsia="en-GB"/>
              </w:rPr>
            </w:pPr>
            <w:proofErr w:type="spellStart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>Flaskhals</w:t>
            </w:r>
            <w:proofErr w:type="spellEnd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 xml:space="preserve"> 1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4295C" w:rsidR="005D4916" w:rsidP="7A53FCC6" w:rsidRDefault="005D4916" w14:paraId="23B46BF4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eastAsia="en-GB"/>
              </w:rPr>
            </w:pPr>
          </w:p>
          <w:p w:rsidRPr="0094295C" w:rsidR="005D4916" w:rsidP="7A53FCC6" w:rsidRDefault="005D4916" w14:paraId="18521F7E" w14:textId="4E6B946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>Bedöm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och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>motivera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flaskhalsens betydelse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för att stimulera innovation i önskad riktning</w:t>
            </w: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4295C" w:rsidR="005D4916" w:rsidP="7A53FCC6" w:rsidRDefault="005D4916" w14:paraId="2E14A419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eastAsia="en-GB"/>
              </w:rPr>
            </w:pPr>
          </w:p>
          <w:p w:rsidRPr="0094295C" w:rsidR="0094295C" w:rsidP="7A53FCC6" w:rsidRDefault="0094295C" w14:paraId="218ED88D" w14:textId="2EC307A1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>Dokumentera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investeringar/ aktiviteter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ämnade att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adressera flaskhalsen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.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Ex: Nedlagd t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id/resurser.</w:t>
            </w:r>
          </w:p>
        </w:tc>
        <w:tc>
          <w:tcPr>
            <w:tcW w:w="27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4295C" w:rsidR="005D4916" w:rsidP="7A53FCC6" w:rsidRDefault="005D4916" w14:paraId="19FE6B75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eastAsia="en-GB"/>
              </w:rPr>
            </w:pPr>
          </w:p>
          <w:p w:rsidRPr="0094295C" w:rsidR="0094295C" w:rsidP="7A53FCC6" w:rsidRDefault="0094295C" w14:paraId="34F3349D" w14:textId="0B0875BF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>Jämför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miljöns totala antal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investeringar/ aktiviteter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. I vilken mån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>följer dessa prioriteringen av identifierade flaskhalsar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>?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(fokus på ”betydelsefulla flaskhalsar”, inte sådana man ”lätt kan förändra”)</w:t>
            </w:r>
          </w:p>
        </w:tc>
        <w:tc>
          <w:tcPr>
            <w:tcW w:w="30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5D4916" w:rsidP="7A53FCC6" w:rsidRDefault="005D4916" w14:paraId="61BEF786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eastAsia="en-GB"/>
              </w:rPr>
            </w:pPr>
          </w:p>
          <w:p w:rsidR="0001328B" w:rsidP="7A53FCC6" w:rsidRDefault="0094295C" w14:paraId="1B41BFE2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Mätdata på flaskhalsen: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>har hin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u w:val="single"/>
                <w:lang w:val="sv-SE" w:eastAsia="en-GB"/>
              </w:rPr>
              <w:t xml:space="preserve">der eliminerats eller nödvändiga förutsättningar byggts upp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som resultat av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miljöns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investeringar/ aktiviteter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?</w:t>
            </w:r>
          </w:p>
          <w:p w:rsidR="0001328B" w:rsidP="7A53FCC6" w:rsidRDefault="0001328B" w14:paraId="583B0C28" w14:textId="77777777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</w:p>
          <w:p w:rsidRPr="00344237" w:rsidR="0094295C" w:rsidP="7A53FCC6" w:rsidRDefault="0001328B" w14:paraId="56757776" w14:textId="18E00E23">
            <w:pPr>
              <w:textAlignment w:val="baseline"/>
              <w:rPr>
                <w:rFonts w:ascii="Arial" w:hAnsi="Arial" w:eastAsia="Arial" w:cs="Arial"/>
                <w:b w:val="1"/>
                <w:bCs w:val="1"/>
                <w:lang w:val="sv-SE" w:eastAsia="en-GB"/>
              </w:rPr>
            </w:pPr>
            <w:r w:rsidRPr="7A53FCC6" w:rsidR="7A53FCC6">
              <w:rPr>
                <w:rFonts w:ascii="Arial" w:hAnsi="Arial" w:eastAsia="Arial" w:cs="Arial"/>
                <w:b w:val="1"/>
                <w:bCs w:val="1"/>
                <w:lang w:eastAsia="en-GB"/>
              </w:rPr>
              <w:t xml:space="preserve">Viktigt att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mätdata finns /extern </w:t>
            </w:r>
            <w:proofErr w:type="spellStart"/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>bedöming</w:t>
            </w:r>
            <w:proofErr w:type="spellEnd"/>
            <w:r w:rsidRPr="7A53FCC6" w:rsidR="7A53FCC6">
              <w:rPr>
                <w:rFonts w:ascii="Arial" w:hAnsi="Arial" w:eastAsia="Arial" w:cs="Arial"/>
                <w:b w:val="1"/>
                <w:bCs w:val="1"/>
                <w:lang w:val="sv-SE" w:eastAsia="en-GB"/>
              </w:rPr>
              <w:t xml:space="preserve"> av flaskhalsen</w:t>
            </w:r>
          </w:p>
        </w:tc>
      </w:tr>
      <w:tr w:rsidRPr="006632AB" w:rsidR="005D4916" w:rsidTr="0085FF06" w14:paraId="61D5B95A" w14:textId="77777777">
        <w:trPr>
          <w:trHeight w:val="1024"/>
        </w:trPr>
        <w:tc>
          <w:tcPr>
            <w:tcW w:w="32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344237" w:rsidP="7A53FCC6" w:rsidRDefault="00344237" w14:paraId="70977BD7" w14:textId="77777777">
            <w:pPr>
              <w:jc w:val="center"/>
              <w:textAlignment w:val="baseline"/>
              <w:rPr>
                <w:rFonts w:ascii="Arial" w:hAnsi="Arial" w:eastAsia="Arial" w:cs="Arial"/>
                <w:b w:val="1"/>
                <w:bCs w:val="1"/>
                <w:lang w:val="en-US" w:eastAsia="en-GB"/>
              </w:rPr>
            </w:pPr>
          </w:p>
          <w:p w:rsidRPr="006632AB" w:rsidR="005D4916" w:rsidP="7A53FCC6" w:rsidRDefault="00344237" w14:paraId="33F9A099" w14:textId="3D293308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proofErr w:type="spellStart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>Flaskhals</w:t>
            </w:r>
            <w:proofErr w:type="spellEnd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 xml:space="preserve">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>2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5D4916" w:rsidP="7A53FCC6" w:rsidRDefault="005D4916" w14:paraId="0A92DB23" w14:textId="2853ECF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5D4916" w:rsidP="7A53FCC6" w:rsidRDefault="005D4916" w14:paraId="3EED811E" w14:textId="6061F07E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27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5D4916" w:rsidP="7A53FCC6" w:rsidRDefault="005D4916" w14:paraId="387F269A" w14:textId="4E925F61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30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5D4916" w:rsidP="7A53FCC6" w:rsidRDefault="005D4916" w14:paraId="00F8BF76" w14:textId="3FFC5695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</w:tr>
      <w:tr w:rsidRPr="006632AB" w:rsidR="00344237" w:rsidTr="0085FF06" w14:paraId="36180F97" w14:textId="77777777">
        <w:trPr>
          <w:trHeight w:val="1024"/>
        </w:trPr>
        <w:tc>
          <w:tcPr>
            <w:tcW w:w="32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344237" w:rsidP="7A53FCC6" w:rsidRDefault="00344237" w14:paraId="71DCD28F" w14:textId="77777777">
            <w:pPr>
              <w:jc w:val="center"/>
              <w:textAlignment w:val="baseline"/>
              <w:rPr>
                <w:rFonts w:ascii="Arial" w:hAnsi="Arial" w:eastAsia="Arial" w:cs="Arial"/>
                <w:b w:val="1"/>
                <w:bCs w:val="1"/>
                <w:lang w:val="en-US" w:eastAsia="en-GB"/>
              </w:rPr>
            </w:pPr>
          </w:p>
          <w:p w:rsidRPr="006632AB" w:rsidR="00344237" w:rsidP="7A53FCC6" w:rsidRDefault="00344237" w14:paraId="3F86B275" w14:textId="30CDB7D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proofErr w:type="spellStart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>Flaskhals</w:t>
            </w:r>
            <w:proofErr w:type="spellEnd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 xml:space="preserve">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>3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2D790BBF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17C45EAE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27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6370E6D7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30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7D54B7B1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</w:tr>
      <w:tr w:rsidRPr="006632AB" w:rsidR="00344237" w:rsidTr="0085FF06" w14:paraId="3676D9B0" w14:textId="77777777">
        <w:trPr>
          <w:trHeight w:val="1024"/>
        </w:trPr>
        <w:tc>
          <w:tcPr>
            <w:tcW w:w="325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344237" w:rsidP="7A53FCC6" w:rsidRDefault="00344237" w14:paraId="541AEB4C" w14:textId="77777777">
            <w:pPr>
              <w:jc w:val="center"/>
              <w:textAlignment w:val="baseline"/>
              <w:rPr>
                <w:rFonts w:ascii="Arial" w:hAnsi="Arial" w:eastAsia="Arial" w:cs="Arial"/>
                <w:b w:val="1"/>
                <w:bCs w:val="1"/>
                <w:lang w:val="en-US" w:eastAsia="en-GB"/>
              </w:rPr>
            </w:pPr>
          </w:p>
          <w:p w:rsidRPr="006632AB" w:rsidR="00344237" w:rsidP="7A53FCC6" w:rsidRDefault="00344237" w14:paraId="27C19B7A" w14:textId="64939EA5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  <w:proofErr w:type="spellStart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>Flaskhals</w:t>
            </w:r>
            <w:proofErr w:type="spellEnd"/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 xml:space="preserve"> </w:t>
            </w:r>
            <w:r w:rsidRPr="7A53FCC6" w:rsidR="7A53FCC6">
              <w:rPr>
                <w:rFonts w:ascii="Arial" w:hAnsi="Arial" w:eastAsia="Arial" w:cs="Arial"/>
                <w:b w:val="1"/>
                <w:bCs w:val="1"/>
                <w:lang w:val="en-US" w:eastAsia="en-GB"/>
              </w:rPr>
              <w:t>4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49765B21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5C92E996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27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0B180F37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  <w:tc>
          <w:tcPr>
            <w:tcW w:w="306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6632AB" w:rsidR="00344237" w:rsidP="7A53FCC6" w:rsidRDefault="00344237" w14:paraId="350C5DCA" w14:textId="77777777">
            <w:pPr>
              <w:jc w:val="center"/>
              <w:textAlignment w:val="baseline"/>
              <w:rPr>
                <w:rFonts w:ascii="Arial" w:hAnsi="Arial" w:eastAsia="Arial" w:cs="Arial"/>
                <w:sz w:val="18"/>
                <w:szCs w:val="18"/>
                <w:lang w:eastAsia="en-GB"/>
              </w:rPr>
            </w:pPr>
          </w:p>
        </w:tc>
      </w:tr>
    </w:tbl>
    <w:p w:rsidRPr="00344237" w:rsidR="005D4916" w:rsidP="501A3713" w:rsidRDefault="00344237" w14:paraId="37B10B90" w14:textId="71804931">
      <w:pPr>
        <w:jc w:val="center"/>
        <w:rPr>
          <w:i w:val="1"/>
          <w:iCs w:val="1"/>
          <w:color w:val="FF0000"/>
          <w:sz w:val="36"/>
          <w:szCs w:val="36"/>
          <w:lang w:val="en-US"/>
        </w:rPr>
      </w:pP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Exempel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</w:t>
      </w: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på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</w:t>
      </w: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flaskhalsanalys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(exempel på engelska) från rapporten (</w:t>
      </w: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skissartad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</w:t>
      </w: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och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</w:t>
      </w: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grov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</w:t>
      </w: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förenkling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av </w:t>
      </w:r>
      <w:proofErr w:type="spellStart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>Nollvision</w:t>
      </w:r>
      <w:proofErr w:type="spellEnd"/>
      <w:r w:rsidRPr="501A3713" w:rsidR="501A3713">
        <w:rPr>
          <w:i w:val="1"/>
          <w:iCs w:val="1"/>
          <w:color w:val="FF0000"/>
          <w:sz w:val="36"/>
          <w:szCs w:val="36"/>
          <w:lang w:val="en-US"/>
        </w:rPr>
        <w:t xml:space="preserve"> Cancer)</w:t>
      </w:r>
    </w:p>
    <w:p w:rsidR="005D4916" w:rsidRDefault="005D4916" w14:paraId="4EFED430" w14:textId="77777777"/>
    <w:p w:rsidR="005D4916" w:rsidRDefault="005D4916" w14:paraId="36FDC35C" w14:textId="77777777"/>
    <w:tbl>
      <w:tblPr>
        <w:tblW w:w="138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1984"/>
        <w:gridCol w:w="2835"/>
        <w:gridCol w:w="2761"/>
        <w:gridCol w:w="3061"/>
      </w:tblGrid>
      <w:tr w:rsidRPr="006632AB" w:rsidR="00D172F8" w:rsidTr="005D4916" w14:paraId="38D816BF" w14:textId="77777777">
        <w:trPr>
          <w:trHeight w:val="1193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E0DB0ED" w14:textId="69C2EC7A">
            <w:pPr>
              <w:textAlignment w:val="baseline"/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</w:pPr>
            <w:r w:rsidRPr="005D4916">
              <w:rPr>
                <w:rFonts w:ascii="Times" w:hAnsi="Times" w:eastAsia="Times New Roman" w:cs="Times New Roman"/>
                <w:b/>
                <w:bCs/>
                <w:color w:val="4472C4" w:themeColor="accent1"/>
                <w:sz w:val="22"/>
                <w:szCs w:val="22"/>
                <w:lang w:val="sv-SE" w:eastAsia="en-GB"/>
              </w:rPr>
              <w:t>Identifierad flaskhals</w:t>
            </w:r>
            <w:r w:rsidRPr="00D172F8">
              <w:rPr>
                <w:rFonts w:ascii="Times" w:hAnsi="Times" w:eastAsia="Times New Roman" w:cs="Times New Roman"/>
                <w:b/>
                <w:bCs/>
                <w:sz w:val="22"/>
                <w:szCs w:val="22"/>
                <w:lang w:val="sv-SE" w:eastAsia="en-GB"/>
              </w:rPr>
              <w:t>: förekomst av hinder/brist på funktion/</w:t>
            </w:r>
            <w:r w:rsidR="005D4916">
              <w:rPr>
                <w:rFonts w:ascii="Times" w:hAnsi="Times" w:eastAsia="Times New Roman" w:cs="Times New Roman"/>
                <w:b/>
                <w:bCs/>
                <w:sz w:val="22"/>
                <w:szCs w:val="22"/>
                <w:lang w:val="sv-SE" w:eastAsia="en-GB"/>
              </w:rPr>
              <w:t xml:space="preserve"> </w:t>
            </w:r>
            <w:r w:rsidRPr="00D172F8">
              <w:rPr>
                <w:rFonts w:ascii="Times" w:hAnsi="Times" w:eastAsia="Times New Roman" w:cs="Times New Roman"/>
                <w:b/>
                <w:bCs/>
                <w:sz w:val="22"/>
                <w:szCs w:val="22"/>
                <w:lang w:val="sv-SE" w:eastAsia="en-GB"/>
              </w:rPr>
              <w:t xml:space="preserve">förutsättningar för att stimulera innovation i önskad riktning 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3BFDD058" w14:textId="61EE6FCA">
            <w:pPr>
              <w:textAlignment w:val="baseline"/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</w:pPr>
            <w:r w:rsidRPr="00D172F8"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  <w:t>Flaskhalsens betydelse (bedöms av miljön/och extern panel</w:t>
            </w:r>
            <w:r w:rsidR="005D4916"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  <w:t xml:space="preserve">) (ex. </w:t>
            </w:r>
            <w:proofErr w:type="gramStart"/>
            <w:r w:rsidR="005D4916"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  <w:t>1-10</w:t>
            </w:r>
            <w:proofErr w:type="gramEnd"/>
            <w:r w:rsidR="005D4916"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  <w:t>)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32E9A8F" w14:textId="4BC6BB85">
            <w:pPr>
              <w:textAlignment w:val="baseline"/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</w:pPr>
            <w:r w:rsidRPr="00D172F8">
              <w:rPr>
                <w:rFonts w:ascii="Times" w:hAnsi="Times" w:eastAsia="Times New Roman" w:cs="Times New Roman"/>
                <w:b/>
                <w:bCs/>
                <w:sz w:val="22"/>
                <w:szCs w:val="22"/>
                <w:lang w:val="sv-SE" w:eastAsia="en-GB"/>
              </w:rPr>
              <w:t>Miljöns investeringar/</w:t>
            </w:r>
            <w:r w:rsidR="005D4916">
              <w:rPr>
                <w:rFonts w:ascii="Times" w:hAnsi="Times" w:eastAsia="Times New Roman" w:cs="Times New Roman"/>
                <w:b/>
                <w:bCs/>
                <w:sz w:val="22"/>
                <w:szCs w:val="22"/>
                <w:lang w:val="sv-SE" w:eastAsia="en-GB"/>
              </w:rPr>
              <w:t xml:space="preserve"> </w:t>
            </w:r>
            <w:r w:rsidRPr="00D172F8">
              <w:rPr>
                <w:rFonts w:ascii="Times" w:hAnsi="Times" w:eastAsia="Times New Roman" w:cs="Times New Roman"/>
                <w:b/>
                <w:bCs/>
                <w:sz w:val="22"/>
                <w:szCs w:val="22"/>
                <w:lang w:val="sv-SE" w:eastAsia="en-GB"/>
              </w:rPr>
              <w:t>aktiviteter som adresserar flaskhalsen</w:t>
            </w:r>
          </w:p>
        </w:tc>
        <w:tc>
          <w:tcPr>
            <w:tcW w:w="2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7DEC2A93" w14:textId="40F65B01">
            <w:pPr>
              <w:textAlignment w:val="baseline"/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</w:pPr>
            <w:r w:rsidRPr="00D172F8">
              <w:rPr>
                <w:rFonts w:ascii="Times" w:hAnsi="Times" w:eastAsia="Times New Roman" w:cs="Times New Roman"/>
                <w:b/>
                <w:bCs/>
                <w:sz w:val="22"/>
                <w:szCs w:val="22"/>
                <w:lang w:val="sv-SE" w:eastAsia="en-GB"/>
              </w:rPr>
              <w:t xml:space="preserve">Matchar investeringar/aktiviteter flaskhalsens betydelse? </w:t>
            </w:r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682A464E" w14:textId="2DADCAEA">
            <w:pPr>
              <w:textAlignment w:val="baseline"/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</w:pPr>
            <w:r w:rsidRPr="00D172F8">
              <w:rPr>
                <w:rFonts w:ascii="Times" w:hAnsi="Times" w:eastAsia="Times New Roman" w:cs="Segoe UI"/>
                <w:b/>
                <w:bCs/>
                <w:sz w:val="22"/>
                <w:szCs w:val="22"/>
                <w:lang w:val="sv-SE" w:eastAsia="en-GB"/>
              </w:rPr>
              <w:t>Bidrar investeringar/aktiviteter till eliminering av hinder/uppbyggnad av förutsättningar?</w:t>
            </w:r>
          </w:p>
        </w:tc>
      </w:tr>
      <w:tr w:rsidRPr="006632AB" w:rsidR="00D172F8" w:rsidTr="005D4916" w14:paraId="51F744FC" w14:textId="77777777">
        <w:trPr>
          <w:trHeight w:val="145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5D4916" w:rsidRDefault="005D4916" w14:paraId="54ED7341" w14:textId="2F2E099E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i/>
                <w:iCs/>
                <w:sz w:val="19"/>
                <w:szCs w:val="19"/>
                <w:lang w:val="en-US" w:eastAsia="en-GB"/>
              </w:rPr>
              <w:t>Utvärderingstyp</w:t>
            </w:r>
            <w:proofErr w:type="spellEnd"/>
            <w:r w:rsidRPr="006632AB" w:rsidR="00D172F8">
              <w:rPr>
                <w:rFonts w:ascii="Times New Roman" w:hAnsi="Times New Roman" w:eastAsia="Times New Roman" w:cs="Times New Roman"/>
                <w:i/>
                <w:iCs/>
                <w:sz w:val="19"/>
                <w:szCs w:val="19"/>
                <w:lang w:val="en-US" w:eastAsia="en-GB"/>
              </w:rPr>
              <w:t>:</w:t>
            </w:r>
          </w:p>
        </w:tc>
        <w:tc>
          <w:tcPr>
            <w:tcW w:w="75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5D4916" w:rsidRDefault="00D172F8" w14:paraId="346B6499" w14:textId="37E9F13B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spellStart"/>
            <w:r w:rsidRPr="006632AB">
              <w:rPr>
                <w:rFonts w:ascii="Times New Roman" w:hAnsi="Times New Roman" w:eastAsia="Times New Roman" w:cs="Times New Roman"/>
                <w:i/>
                <w:iCs/>
                <w:sz w:val="19"/>
                <w:szCs w:val="19"/>
                <w:lang w:val="en-US" w:eastAsia="en-GB"/>
              </w:rPr>
              <w:t>Formativ</w:t>
            </w:r>
            <w:proofErr w:type="spellEnd"/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5D4916" w:rsidRDefault="00D172F8" w14:paraId="16FF0F36" w14:textId="13813BA5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proofErr w:type="spellStart"/>
            <w:r w:rsidRPr="006632AB">
              <w:rPr>
                <w:rFonts w:ascii="Times New Roman" w:hAnsi="Times New Roman" w:eastAsia="Times New Roman" w:cs="Times New Roman"/>
                <w:i/>
                <w:iCs/>
                <w:sz w:val="19"/>
                <w:szCs w:val="19"/>
                <w:lang w:val="en-US" w:eastAsia="en-GB"/>
              </w:rPr>
              <w:t>Summativ</w:t>
            </w:r>
            <w:proofErr w:type="spellEnd"/>
          </w:p>
        </w:tc>
      </w:tr>
      <w:tr w:rsidRPr="006632AB" w:rsidR="00D172F8" w:rsidTr="005D4916" w14:paraId="61799429" w14:textId="77777777">
        <w:trPr>
          <w:trHeight w:val="887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61E647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System-level lack of trustworthy and easily accessible knowledge about cost-effectiveness of prevention and early detection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70213A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5B904B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Knowledge development (</w:t>
            </w:r>
            <w:proofErr w:type="gramStart"/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e.g.</w:t>
            </w:r>
            <w:proofErr w:type="gramEnd"/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 xml:space="preserve"> commissioned reports, health economic evaluations, predictions, simulations)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75F70E3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21EA1C9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2D58A6F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 xml:space="preserve">Data on MDE </w:t>
            </w:r>
            <w:r w:rsidRPr="006632AB">
              <w:rPr>
                <w:rFonts w:ascii="Times New Roman" w:hAnsi="Times New Roman" w:eastAsia="Times New Roman" w:cs="Times New Roman"/>
                <w:i/>
                <w:iCs/>
                <w:sz w:val="19"/>
                <w:szCs w:val="19"/>
                <w:lang w:val="en-US" w:eastAsia="en-GB"/>
              </w:rPr>
              <w:t>priorities and investments / activities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 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3D09920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33347AB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 xml:space="preserve">Data on </w:t>
            </w:r>
            <w:r w:rsidRPr="006632AB">
              <w:rPr>
                <w:rFonts w:ascii="Times New Roman" w:hAnsi="Times New Roman" w:eastAsia="Times New Roman" w:cs="Times New Roman"/>
                <w:i/>
                <w:iCs/>
                <w:sz w:val="19"/>
                <w:szCs w:val="19"/>
                <w:lang w:val="en-US" w:eastAsia="en-GB"/>
              </w:rPr>
              <w:t>how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 xml:space="preserve"> they prioritized between investments / activities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7F54028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54F235F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6B0DD3E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0C86DFB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30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D42571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i/>
                <w:iCs/>
                <w:sz w:val="19"/>
                <w:szCs w:val="19"/>
                <w:lang w:val="en-US" w:eastAsia="en-GB"/>
              </w:rPr>
              <w:t>Potential assessment tools: 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6512CEE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1D97BEA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Updated metrics on bottleneck magnitude, counterfactual scenario analyses, follow-up studies after new interventions/ activities launched, case comparison with similar interventions in other fields, surveys, external Delphi/expert panel assessments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Pr="006632AB" w:rsidR="00D172F8" w:rsidTr="005D4916" w14:paraId="21BFAB16" w14:textId="77777777">
        <w:trPr>
          <w:trHeight w:val="867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035C90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System-level lack of trustworthy and easily accessible knowledge how to change operational routines to enable early detection/ prevention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7A6DED1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662DFD4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Financing PhD studies of early detection in primary care, financing rehabilitation experiment and study at one clinic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6632AB" w:rsidR="00D172F8" w:rsidP="00473F32" w:rsidRDefault="00D172F8" w14:paraId="0D5B3A62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6632AB" w:rsidR="00D172F8" w:rsidP="00473F32" w:rsidRDefault="00D172F8" w14:paraId="7FDB790C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6632AB" w:rsidR="00D172F8" w:rsidTr="005D4916" w14:paraId="23A69F2A" w14:textId="77777777">
        <w:trPr>
          <w:trHeight w:val="734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511329D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Lack of educational content about prevention in current curriculum for relevant professions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67399F9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8ACF07A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Acknowledged but few concrete actions – involving health care educational institutions needed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0D9232C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 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3CB256C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20B703E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GB" w:eastAsia="en-GB"/>
              </w:rPr>
              <w:t>Track efforts to make changes in education curriculum or stimulate others to make such changes.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30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81C997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Track changes in health care education curriculum and number of specialists trained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  <w:p w:rsidRPr="006632AB" w:rsidR="00D172F8" w:rsidP="00473F32" w:rsidRDefault="00D172F8" w14:paraId="6C37618F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Pr="006632AB" w:rsidR="00D172F8" w:rsidTr="005D4916" w14:paraId="6CDAB03F" w14:textId="77777777">
        <w:trPr>
          <w:trHeight w:val="596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4A34DD9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Lack of interest among young people specializing in lung cancer prevention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69266AD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01DE54D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Acknowledged but few concrete actions. General mobilization of interest in topic may contribute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6632AB" w:rsidR="00D172F8" w:rsidP="00473F32" w:rsidRDefault="00D172F8" w14:paraId="49686FB3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6632AB" w:rsidR="00D172F8" w:rsidP="00473F32" w:rsidRDefault="00D172F8" w14:paraId="46921273" w14:textId="77777777">
            <w:pPr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</w:p>
        </w:tc>
      </w:tr>
      <w:tr w:rsidRPr="006632AB" w:rsidR="00D172F8" w:rsidTr="005D4916" w14:paraId="03641944" w14:textId="77777777">
        <w:trPr>
          <w:trHeight w:val="1024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CA8655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Existing regulations impede data sharing needed for individualized prevention 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034559A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68D56B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Acknowledged as a bottleneck but concrete actions. Delegated to another MDE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4743F49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GB" w:eastAsia="en-GB"/>
              </w:rPr>
              <w:t xml:space="preserve">Track direct or indirect activities that contribute to addressing the bottleneck, </w:t>
            </w:r>
            <w:proofErr w:type="gramStart"/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GB" w:eastAsia="en-GB"/>
              </w:rPr>
              <w:t>e.g.</w:t>
            </w:r>
            <w:proofErr w:type="gramEnd"/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GB" w:eastAsia="en-GB"/>
              </w:rPr>
              <w:t xml:space="preserve"> by monitoring involvement of regulations, ethics experts, and data sharing experts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.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50BDE84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Track whether regulatory changes are discussed / examined / executed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Pr="006632AB" w:rsidR="00D172F8" w:rsidTr="005D4916" w14:paraId="7A199AE4" w14:textId="77777777">
        <w:trPr>
          <w:trHeight w:val="298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3229F8B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Distrust among actors across sectors – (</w:t>
            </w:r>
            <w:proofErr w:type="gramStart"/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e.g.</w:t>
            </w:r>
            <w:proofErr w:type="gramEnd"/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 xml:space="preserve"> unidirectional distrust: health care professions and providers distrust industry), which impedes cross-sectorial alignment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0F37EC2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6F6BACA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Arrange meeting-arenas (workshops/ seminars) where actors can explain/showcase what they do, and collaborate to create understanding of each other’s prerequisites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0CB2849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5CD5333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Follow-up surveys gauging cross-sectoral understanding/trust among workshop participants and/or at participants’ workplaces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Pr="006632AB" w:rsidR="00D172F8" w:rsidTr="005D4916" w14:paraId="43022A50" w14:textId="77777777">
        <w:trPr>
          <w:trHeight w:val="887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43581098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lastRenderedPageBreak/>
              <w:t>Current reimbursement system rewarding reactive rather than preventive care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4816320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2C4762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Ordering and financing health economic studies demonstrating financial benefits of preventing rather than treating forms of cancer (row 1)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15F674F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How prioritized are these activities among MDE activities?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AF2E32E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Track potential changes in/between regions in reimbursement for treatment vs preventive care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  <w:tr w:rsidRPr="006632AB" w:rsidR="00D172F8" w:rsidTr="005D4916" w14:paraId="12A53BDA" w14:textId="77777777">
        <w:trPr>
          <w:trHeight w:val="887"/>
        </w:trPr>
        <w:tc>
          <w:tcPr>
            <w:tcW w:w="32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451E074B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Disconnects and delays between research and operational/clinical development of healthcare innovation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C0AA5FC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2F8E70F1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Applying for and getting funding for a ‘Testbed’ allowing implementation/ testing of innovations. Additional activities with potential identified.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2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068F9077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How prioritized are these activities among MDE activities?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3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6632AB" w:rsidR="00D172F8" w:rsidP="00473F32" w:rsidRDefault="00D172F8" w14:paraId="4CA5E093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eastAsia="en-GB"/>
              </w:rPr>
            </w:pP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val="en-US" w:eastAsia="en-GB"/>
              </w:rPr>
              <w:t>Comparative case studies / contrafactual studies comparing development speed of ‘testbed innovations’ to other healthcare innovations</w:t>
            </w:r>
            <w:r w:rsidRPr="006632AB">
              <w:rPr>
                <w:rFonts w:ascii="Times New Roman" w:hAnsi="Times New Roman" w:eastAsia="Times New Roman" w:cs="Times New Roman"/>
                <w:sz w:val="19"/>
                <w:szCs w:val="19"/>
                <w:lang w:eastAsia="en-GB"/>
              </w:rPr>
              <w:t> </w:t>
            </w:r>
          </w:p>
        </w:tc>
      </w:tr>
    </w:tbl>
    <w:p w:rsidR="00D172F8" w:rsidP="00473F32" w:rsidRDefault="00D172F8" w14:paraId="2C540341" w14:textId="7E85128E"/>
    <w:p w:rsidR="00D172F8" w:rsidP="00473F32" w:rsidRDefault="00D172F8" w14:paraId="5225C114" w14:textId="0D6D00E6"/>
    <w:sectPr w:rsidR="00D172F8" w:rsidSect="005D4916">
      <w:pgSz w:w="16838" w:h="11906" w:orient="landscape"/>
      <w:pgMar w:top="1440" w:right="1440" w:bottom="1440" w:left="1440" w:header="708" w:footer="708" w:gutter="0"/>
      <w:cols w:space="708"/>
      <w:docGrid w:linePitch="360"/>
      <w:headerReference w:type="default" r:id="R5e8edee7d8df4257"/>
      <w:footerReference w:type="default" r:id="Rff6e60271d2448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501A3713" w:rsidTr="501A3713" w14:paraId="00301A6E">
      <w:tc>
        <w:tcPr>
          <w:tcW w:w="4650" w:type="dxa"/>
          <w:tcMar/>
        </w:tcPr>
        <w:p w:rsidR="501A3713" w:rsidP="501A3713" w:rsidRDefault="501A3713" w14:paraId="4A1C6F9C" w14:textId="1088DA36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501A3713" w:rsidP="501A3713" w:rsidRDefault="501A3713" w14:paraId="63FDCB43" w14:textId="42B2DB7E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01A3713" w:rsidP="501A3713" w:rsidRDefault="501A3713" w14:paraId="36ED930E" w14:textId="2853567A">
          <w:pPr>
            <w:pStyle w:val="Header"/>
            <w:bidi w:val="0"/>
            <w:ind w:right="-115"/>
            <w:jc w:val="right"/>
          </w:pPr>
        </w:p>
      </w:tc>
    </w:tr>
  </w:tbl>
  <w:p w:rsidR="501A3713" w:rsidP="501A3713" w:rsidRDefault="501A3713" w14:paraId="1053F0F5" w14:textId="77B40FD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8955"/>
      <w:gridCol w:w="345"/>
      <w:gridCol w:w="4650"/>
    </w:tblGrid>
    <w:tr w:rsidR="501A3713" w:rsidTr="501A3713" w14:paraId="6DA2DDFB">
      <w:tc>
        <w:tcPr>
          <w:tcW w:w="8955" w:type="dxa"/>
          <w:tcMar/>
        </w:tcPr>
        <w:p w:rsidR="501A3713" w:rsidP="501A3713" w:rsidRDefault="501A3713" w14:paraId="6D338529" w14:textId="1F5640D7">
          <w:pPr>
            <w:pStyle w:val="Header"/>
            <w:bidi w:val="0"/>
            <w:ind w:left="-115"/>
            <w:jc w:val="left"/>
          </w:pPr>
          <w:r w:rsidR="501A3713">
            <w:rPr/>
            <w:t>Grov mall för flaskhalsanalys i missionsdrivna innovationsmiljöer - bör anpassas till er kontext</w:t>
          </w:r>
        </w:p>
      </w:tc>
      <w:tc>
        <w:tcPr>
          <w:tcW w:w="345" w:type="dxa"/>
          <w:tcMar/>
        </w:tcPr>
        <w:p w:rsidR="501A3713" w:rsidP="501A3713" w:rsidRDefault="501A3713" w14:paraId="7FD4B0E1" w14:textId="66399D27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501A3713" w:rsidP="501A3713" w:rsidRDefault="501A3713" w14:paraId="7407AE38" w14:textId="20FBCF51">
          <w:pPr>
            <w:pStyle w:val="Header"/>
            <w:bidi w:val="0"/>
            <w:ind w:right="-115"/>
            <w:jc w:val="right"/>
          </w:pPr>
        </w:p>
      </w:tc>
    </w:tr>
  </w:tbl>
  <w:p w:rsidR="501A3713" w:rsidP="501A3713" w:rsidRDefault="501A3713" w14:paraId="4F11DD93" w14:textId="55B34873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AB"/>
    <w:rsid w:val="0001328B"/>
    <w:rsid w:val="00344237"/>
    <w:rsid w:val="00473F32"/>
    <w:rsid w:val="005D4916"/>
    <w:rsid w:val="006632AB"/>
    <w:rsid w:val="0085FF06"/>
    <w:rsid w:val="0094295C"/>
    <w:rsid w:val="00A40F3A"/>
    <w:rsid w:val="00BB0F3C"/>
    <w:rsid w:val="00D172F8"/>
    <w:rsid w:val="501A3713"/>
    <w:rsid w:val="7A53F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5DDD"/>
  <w15:chartTrackingRefBased/>
  <w15:docId w15:val="{9642A968-D26B-BD48-929D-51488414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632AB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normaltextrun" w:customStyle="1">
    <w:name w:val="normaltextrun"/>
    <w:basedOn w:val="DefaultParagraphFont"/>
    <w:rsid w:val="006632AB"/>
  </w:style>
  <w:style w:type="character" w:styleId="eop" w:customStyle="1">
    <w:name w:val="eop"/>
    <w:basedOn w:val="DefaultParagraphFont"/>
    <w:rsid w:val="006632AB"/>
  </w:style>
  <w:style w:type="character" w:styleId="contextualspellingandgrammarerror" w:customStyle="1">
    <w:name w:val="contextualspellingandgrammarerror"/>
    <w:basedOn w:val="DefaultParagraphFont"/>
    <w:rsid w:val="006632A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ff6e60271d2448bf" Type="http://schemas.openxmlformats.org/officeDocument/2006/relationships/footer" Target="footer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5e8edee7d8df4257" Type="http://schemas.openxmlformats.org/officeDocument/2006/relationships/header" Target="header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7B2990343F34FBA78AF3D37E2550F" ma:contentTypeVersion="16" ma:contentTypeDescription="Create a new document." ma:contentTypeScope="" ma:versionID="f5528ece1b224ddf6454c12b198e1447">
  <xsd:schema xmlns:xsd="http://www.w3.org/2001/XMLSchema" xmlns:xs="http://www.w3.org/2001/XMLSchema" xmlns:p="http://schemas.microsoft.com/office/2006/metadata/properties" xmlns:ns2="8210c402-9a2d-4420-8d1c-23b1408604dd" xmlns:ns3="f3afa0e2-de59-4576-ab6b-53a17f7fc8dd" targetNamespace="http://schemas.microsoft.com/office/2006/metadata/properties" ma:root="true" ma:fieldsID="73b2efe69d51f1158060d1007ca372ad" ns2:_="" ns3:_="">
    <xsd:import namespace="8210c402-9a2d-4420-8d1c-23b1408604dd"/>
    <xsd:import namespace="f3afa0e2-de59-4576-ab6b-53a17f7f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0c402-9a2d-4420-8d1c-23b140860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cea5a27-2f9a-487f-83fe-96275197e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fa0e2-de59-4576-ab6b-53a17f7f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3753b4-49ee-480e-ab35-ff713d2d0224}" ma:internalName="TaxCatchAll" ma:showField="CatchAllData" ma:web="f3afa0e2-de59-4576-ab6b-53a17f7f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afa0e2-de59-4576-ab6b-53a17f7fc8dd" xsi:nil="true"/>
    <lcf76f155ced4ddcb4097134ff3c332f xmlns="8210c402-9a2d-4420-8d1c-23b1408604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D2D283-E323-4ECA-BA46-A7E853DE9306}"/>
</file>

<file path=customXml/itemProps2.xml><?xml version="1.0" encoding="utf-8"?>
<ds:datastoreItem xmlns:ds="http://schemas.openxmlformats.org/officeDocument/2006/customXml" ds:itemID="{97D3084E-730A-40B0-A59A-160C7FD4ED21}"/>
</file>

<file path=customXml/itemProps3.xml><?xml version="1.0" encoding="utf-8"?>
<ds:datastoreItem xmlns:ds="http://schemas.openxmlformats.org/officeDocument/2006/customXml" ds:itemID="{9D176430-001B-461E-B0A2-03B0334292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Essén</dc:creator>
  <cp:keywords/>
  <dc:description/>
  <cp:lastModifiedBy>Anna Essen</cp:lastModifiedBy>
  <cp:revision>7</cp:revision>
  <dcterms:created xsi:type="dcterms:W3CDTF">2022-03-07T18:00:00Z</dcterms:created>
  <dcterms:modified xsi:type="dcterms:W3CDTF">2022-11-17T13:32:06Z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0x0101005A27B2990343F34FBA78AF3D37E2550F</vt:lpwstr>
  </property>
</Properties>
</file>